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 w:lineRule="atLeast"/>
        <w:jc w:val="center"/>
        <w:rPr>
          <w:rFonts w:ascii="宋体"/>
          <w:b/>
          <w:sz w:val="52"/>
          <w:szCs w:val="52"/>
        </w:rPr>
      </w:pPr>
    </w:p>
    <w:p>
      <w:pPr>
        <w:spacing w:line="40" w:lineRule="atLeast"/>
        <w:jc w:val="center"/>
        <w:rPr>
          <w:rFonts w:ascii="宋体" w:hAnsi="宋体"/>
          <w:b/>
          <w:sz w:val="44"/>
          <w:szCs w:val="44"/>
        </w:rPr>
      </w:pPr>
      <w:r>
        <w:rPr>
          <w:rFonts w:hint="eastAsia" w:ascii="宋体" w:hAnsi="宋体"/>
          <w:b/>
          <w:sz w:val="44"/>
          <w:szCs w:val="44"/>
        </w:rPr>
        <w:t>茅岗小学运动场改造工程</w:t>
      </w:r>
    </w:p>
    <w:p>
      <w:pPr>
        <w:spacing w:line="40" w:lineRule="atLeast"/>
        <w:jc w:val="center"/>
        <w:rPr>
          <w:rFonts w:ascii="宋体"/>
          <w:b/>
          <w:sz w:val="44"/>
          <w:szCs w:val="44"/>
        </w:rPr>
      </w:pPr>
      <w:r>
        <w:rPr>
          <w:rFonts w:hint="eastAsia" w:ascii="宋体" w:hAnsi="宋体"/>
          <w:b/>
          <w:sz w:val="44"/>
          <w:szCs w:val="44"/>
        </w:rPr>
        <w:t>概算书</w:t>
      </w:r>
    </w:p>
    <w:p>
      <w:pPr>
        <w:spacing w:line="40" w:lineRule="atLeast"/>
        <w:jc w:val="center"/>
        <w:rPr>
          <w:rFonts w:ascii="宋体"/>
          <w:b/>
          <w:sz w:val="52"/>
          <w:szCs w:val="52"/>
        </w:rPr>
      </w:pPr>
    </w:p>
    <w:p>
      <w:pPr>
        <w:spacing w:line="40" w:lineRule="atLeast"/>
        <w:jc w:val="center"/>
        <w:rPr>
          <w:rFonts w:ascii="宋体"/>
          <w:b/>
          <w:color w:val="FF6600"/>
          <w:sz w:val="52"/>
          <w:szCs w:val="52"/>
        </w:rPr>
      </w:pPr>
    </w:p>
    <w:p>
      <w:pPr>
        <w:spacing w:line="40" w:lineRule="atLeast"/>
        <w:jc w:val="center"/>
        <w:rPr>
          <w:rFonts w:ascii="宋体"/>
          <w:b/>
          <w:color w:val="FF6600"/>
          <w:sz w:val="52"/>
          <w:szCs w:val="52"/>
        </w:rPr>
      </w:pPr>
    </w:p>
    <w:p>
      <w:pPr>
        <w:spacing w:line="40" w:lineRule="atLeast"/>
        <w:jc w:val="center"/>
        <w:rPr>
          <w:rFonts w:ascii="宋体"/>
          <w:b/>
          <w:color w:val="FF6600"/>
          <w:sz w:val="52"/>
          <w:szCs w:val="52"/>
        </w:rPr>
      </w:pPr>
    </w:p>
    <w:p>
      <w:pPr>
        <w:spacing w:line="40" w:lineRule="atLeast"/>
        <w:jc w:val="center"/>
        <w:rPr>
          <w:rFonts w:ascii="宋体"/>
          <w:b/>
          <w:color w:val="FF6600"/>
          <w:sz w:val="52"/>
          <w:szCs w:val="52"/>
        </w:rPr>
      </w:pPr>
    </w:p>
    <w:p>
      <w:pPr>
        <w:spacing w:line="40" w:lineRule="atLeast"/>
        <w:rPr>
          <w:rFonts w:ascii="宋体"/>
          <w:b/>
          <w:sz w:val="30"/>
          <w:szCs w:val="30"/>
        </w:rPr>
      </w:pPr>
    </w:p>
    <w:p>
      <w:pPr>
        <w:spacing w:line="40" w:lineRule="atLeast"/>
        <w:rPr>
          <w:rFonts w:ascii="宋体"/>
          <w:b/>
          <w:sz w:val="30"/>
          <w:szCs w:val="30"/>
        </w:rPr>
      </w:pPr>
    </w:p>
    <w:p>
      <w:pPr>
        <w:spacing w:line="60" w:lineRule="atLeast"/>
        <w:ind w:firstLine="708" w:firstLineChars="235"/>
        <w:jc w:val="left"/>
        <w:rPr>
          <w:rFonts w:ascii="宋体"/>
          <w:b/>
          <w:sz w:val="30"/>
          <w:szCs w:val="30"/>
        </w:rPr>
      </w:pPr>
      <w:r>
        <w:rPr>
          <w:rFonts w:hint="eastAsia" w:ascii="宋体" w:hAnsi="宋体"/>
          <w:b/>
          <w:sz w:val="30"/>
          <w:szCs w:val="30"/>
        </w:rPr>
        <w:t>工程造价：5899849.90元</w:t>
      </w:r>
      <w:bookmarkStart w:id="0" w:name="_GoBack"/>
      <w:bookmarkEnd w:id="0"/>
    </w:p>
    <w:p>
      <w:pPr>
        <w:spacing w:line="60" w:lineRule="atLeast"/>
        <w:ind w:firstLine="708" w:firstLineChars="235"/>
        <w:jc w:val="left"/>
        <w:rPr>
          <w:rFonts w:ascii="宋体"/>
          <w:b/>
          <w:sz w:val="30"/>
          <w:szCs w:val="30"/>
        </w:rPr>
      </w:pPr>
      <w:r>
        <w:rPr>
          <w:rFonts w:hint="eastAsia" w:ascii="宋体" w:hAnsi="宋体"/>
          <w:b/>
          <w:sz w:val="30"/>
          <w:szCs w:val="30"/>
        </w:rPr>
        <w:t>建设单位</w:t>
      </w:r>
      <w:r>
        <w:rPr>
          <w:rFonts w:ascii="宋体" w:hAnsi="宋体"/>
          <w:b/>
          <w:sz w:val="30"/>
          <w:szCs w:val="30"/>
        </w:rPr>
        <w:t>:</w:t>
      </w:r>
      <w:r>
        <w:rPr>
          <w:rFonts w:hint="eastAsia" w:ascii="宋体" w:hAnsi="宋体"/>
          <w:b/>
          <w:sz w:val="30"/>
          <w:szCs w:val="30"/>
        </w:rPr>
        <w:t>广州市黄埔区茅岗小学</w:t>
      </w:r>
    </w:p>
    <w:p>
      <w:pPr>
        <w:spacing w:line="60" w:lineRule="atLeast"/>
        <w:ind w:firstLine="708" w:firstLineChars="235"/>
        <w:jc w:val="left"/>
        <w:rPr>
          <w:rFonts w:ascii="宋体"/>
          <w:b/>
          <w:sz w:val="30"/>
          <w:szCs w:val="30"/>
        </w:rPr>
      </w:pPr>
      <w:r>
        <w:rPr>
          <w:rFonts w:hint="eastAsia" w:ascii="宋体" w:hAnsi="宋体"/>
          <w:b/>
          <w:sz w:val="30"/>
          <w:szCs w:val="30"/>
        </w:rPr>
        <w:t>编制单位：</w:t>
      </w:r>
      <w:r>
        <w:rPr>
          <w:rFonts w:hint="eastAsia" w:ascii="宋体" w:hAnsi="宋体"/>
          <w:b/>
          <w:sz w:val="30"/>
          <w:szCs w:val="30"/>
          <w:lang w:eastAsia="zh-CN"/>
        </w:rPr>
        <w:t>广州亚泰建筑设计院有限公司</w:t>
      </w:r>
    </w:p>
    <w:p>
      <w:pPr>
        <w:spacing w:line="60" w:lineRule="atLeast"/>
        <w:ind w:firstLine="708" w:firstLineChars="235"/>
        <w:jc w:val="left"/>
        <w:rPr>
          <w:rFonts w:ascii="宋体" w:hAnsi="宋体"/>
          <w:b/>
          <w:sz w:val="30"/>
          <w:szCs w:val="30"/>
        </w:rPr>
      </w:pPr>
      <w:r>
        <w:rPr>
          <w:rFonts w:hint="eastAsia" w:ascii="宋体" w:hAnsi="宋体"/>
          <w:b/>
          <w:sz w:val="30"/>
          <w:szCs w:val="30"/>
        </w:rPr>
        <w:t>编制日期：</w:t>
      </w:r>
      <w:r>
        <w:rPr>
          <w:rFonts w:hint="eastAsia" w:ascii="宋体" w:hAnsi="宋体"/>
          <w:b/>
          <w:sz w:val="30"/>
          <w:szCs w:val="30"/>
          <w:lang w:val="en-US" w:eastAsia="zh-CN"/>
        </w:rPr>
        <w:t>2022-07</w:t>
      </w:r>
    </w:p>
    <w:p>
      <w:pPr>
        <w:spacing w:line="40" w:lineRule="atLeast"/>
        <w:rPr>
          <w:rFonts w:ascii="宋体" w:hAnsi="宋体"/>
          <w:b/>
          <w:sz w:val="30"/>
          <w:szCs w:val="30"/>
        </w:rPr>
      </w:pPr>
    </w:p>
    <w:p>
      <w:pPr>
        <w:spacing w:line="40" w:lineRule="atLeast"/>
        <w:rPr>
          <w:rFonts w:ascii="宋体"/>
          <w:b/>
          <w:sz w:val="30"/>
          <w:szCs w:val="30"/>
        </w:rPr>
      </w:pPr>
    </w:p>
    <w:p>
      <w:pPr>
        <w:spacing w:line="40" w:lineRule="atLeast"/>
        <w:rPr>
          <w:rFonts w:ascii="宋体"/>
          <w:b/>
          <w:sz w:val="30"/>
          <w:szCs w:val="30"/>
        </w:rPr>
      </w:pPr>
    </w:p>
    <w:p>
      <w:pPr>
        <w:spacing w:line="40" w:lineRule="atLeast"/>
        <w:rPr>
          <w:rFonts w:ascii="宋体"/>
          <w:b/>
          <w:sz w:val="30"/>
          <w:szCs w:val="30"/>
        </w:rPr>
      </w:pPr>
    </w:p>
    <w:p>
      <w:pPr>
        <w:spacing w:line="40" w:lineRule="atLeast"/>
        <w:rPr>
          <w:rFonts w:ascii="宋体"/>
          <w:b/>
          <w:sz w:val="30"/>
          <w:szCs w:val="30"/>
        </w:rPr>
      </w:pPr>
    </w:p>
    <w:p>
      <w:pPr>
        <w:spacing w:line="40" w:lineRule="atLeast"/>
        <w:rPr>
          <w:rFonts w:ascii="宋体"/>
          <w:b/>
          <w:sz w:val="30"/>
          <w:szCs w:val="30"/>
        </w:rPr>
      </w:pPr>
    </w:p>
    <w:p>
      <w:pPr>
        <w:spacing w:beforeLines="50"/>
        <w:jc w:val="center"/>
        <w:rPr>
          <w:rFonts w:ascii="宋体"/>
          <w:sz w:val="28"/>
          <w:szCs w:val="28"/>
        </w:rPr>
      </w:pPr>
      <w:r>
        <w:rPr>
          <w:rFonts w:hint="eastAsia" w:ascii="宋体" w:hAnsi="宋体"/>
          <w:b/>
          <w:color w:val="000000"/>
          <w:sz w:val="28"/>
          <w:szCs w:val="28"/>
        </w:rPr>
        <w:t>概算书</w:t>
      </w:r>
      <w:r>
        <w:rPr>
          <w:rFonts w:hint="eastAsia" w:ascii="宋体" w:hAnsi="宋体"/>
          <w:b/>
          <w:bCs/>
          <w:sz w:val="28"/>
          <w:szCs w:val="28"/>
        </w:rPr>
        <w:t>编制说明</w:t>
      </w:r>
    </w:p>
    <w:p>
      <w:pPr>
        <w:spacing w:line="480" w:lineRule="exact"/>
        <w:ind w:left="-424" w:leftChars="-202" w:firstLine="565" w:firstLineChars="202"/>
        <w:rPr>
          <w:rFonts w:ascii="宋体"/>
          <w:sz w:val="28"/>
          <w:szCs w:val="28"/>
        </w:rPr>
      </w:pPr>
      <w:r>
        <w:rPr>
          <w:rFonts w:hint="eastAsia" w:ascii="宋体" w:hAnsi="宋体"/>
          <w:sz w:val="28"/>
          <w:szCs w:val="28"/>
        </w:rPr>
        <w:t>一、工程概况：</w:t>
      </w:r>
    </w:p>
    <w:p>
      <w:pPr>
        <w:spacing w:line="480" w:lineRule="exact"/>
        <w:ind w:left="-424" w:leftChars="-202" w:firstLine="565" w:firstLineChars="202"/>
        <w:rPr>
          <w:rFonts w:ascii="宋体"/>
          <w:sz w:val="28"/>
          <w:szCs w:val="28"/>
        </w:rPr>
      </w:pPr>
      <w:r>
        <w:rPr>
          <w:rFonts w:hint="eastAsia" w:ascii="宋体" w:hAnsi="宋体"/>
          <w:color w:val="000000"/>
          <w:kern w:val="0"/>
          <w:sz w:val="28"/>
          <w:szCs w:val="28"/>
        </w:rPr>
        <w:t>建设单位：</w:t>
      </w:r>
      <w:r>
        <w:rPr>
          <w:rFonts w:hint="eastAsia" w:ascii="宋体" w:hAnsi="宋体"/>
          <w:sz w:val="28"/>
          <w:szCs w:val="28"/>
        </w:rPr>
        <w:t>广州市黄埔区茅岗小学</w:t>
      </w:r>
    </w:p>
    <w:p>
      <w:pPr>
        <w:spacing w:line="480" w:lineRule="exact"/>
        <w:ind w:left="-424" w:leftChars="-202" w:firstLine="565" w:firstLineChars="202"/>
        <w:rPr>
          <w:rFonts w:ascii="宋体"/>
          <w:sz w:val="28"/>
          <w:szCs w:val="28"/>
        </w:rPr>
      </w:pPr>
      <w:r>
        <w:rPr>
          <w:rFonts w:hint="eastAsia" w:ascii="宋体" w:hAnsi="宋体"/>
          <w:color w:val="000000"/>
          <w:kern w:val="0"/>
          <w:sz w:val="28"/>
          <w:szCs w:val="28"/>
        </w:rPr>
        <w:t>工程范围：茅岗小学运动场改造工程</w:t>
      </w:r>
    </w:p>
    <w:p>
      <w:pPr>
        <w:spacing w:line="480" w:lineRule="exact"/>
        <w:ind w:left="-424" w:leftChars="-202" w:firstLine="565" w:firstLineChars="202"/>
        <w:jc w:val="left"/>
        <w:rPr>
          <w:rFonts w:ascii="宋体"/>
          <w:b/>
          <w:sz w:val="28"/>
          <w:szCs w:val="28"/>
        </w:rPr>
      </w:pPr>
      <w:r>
        <w:rPr>
          <w:rFonts w:hint="eastAsia" w:ascii="宋体" w:hAnsi="宋体"/>
          <w:color w:val="000000"/>
          <w:kern w:val="0"/>
          <w:sz w:val="28"/>
          <w:szCs w:val="28"/>
        </w:rPr>
        <w:t>工程地点：</w:t>
      </w:r>
      <w:r>
        <w:rPr>
          <w:rFonts w:hint="eastAsia" w:ascii="宋体" w:hAnsi="宋体"/>
          <w:sz w:val="28"/>
          <w:szCs w:val="28"/>
        </w:rPr>
        <w:t>广州市黄埔区茅岗小学</w:t>
      </w:r>
    </w:p>
    <w:p>
      <w:pPr>
        <w:spacing w:line="480" w:lineRule="exact"/>
        <w:ind w:left="-424" w:leftChars="-202" w:firstLine="565" w:firstLineChars="202"/>
        <w:rPr>
          <w:rFonts w:ascii="宋体"/>
          <w:color w:val="000000"/>
          <w:kern w:val="0"/>
          <w:sz w:val="28"/>
          <w:szCs w:val="28"/>
        </w:rPr>
      </w:pPr>
      <w:r>
        <w:rPr>
          <w:rFonts w:hint="eastAsia" w:ascii="宋体" w:hAnsi="宋体"/>
          <w:color w:val="000000"/>
          <w:kern w:val="0"/>
          <w:sz w:val="28"/>
          <w:szCs w:val="28"/>
        </w:rPr>
        <w:t>二、编制依据</w:t>
      </w:r>
    </w:p>
    <w:p>
      <w:pPr>
        <w:spacing w:line="480" w:lineRule="exact"/>
        <w:ind w:left="-424" w:leftChars="-202" w:firstLine="565" w:firstLineChars="202"/>
        <w:rPr>
          <w:color w:val="000000"/>
          <w:kern w:val="0"/>
          <w:sz w:val="28"/>
          <w:szCs w:val="28"/>
        </w:rPr>
      </w:pPr>
      <w:r>
        <w:rPr>
          <w:rFonts w:ascii="宋体" w:hAnsi="宋体"/>
          <w:color w:val="000000"/>
          <w:kern w:val="0"/>
          <w:sz w:val="28"/>
          <w:szCs w:val="28"/>
        </w:rPr>
        <w:t>1</w:t>
      </w:r>
      <w:r>
        <w:rPr>
          <w:rFonts w:hint="eastAsia" w:ascii="宋体" w:hAnsi="宋体"/>
          <w:color w:val="000000"/>
          <w:kern w:val="0"/>
          <w:sz w:val="28"/>
          <w:szCs w:val="28"/>
        </w:rPr>
        <w:t>、本工程设计院及业主提供</w:t>
      </w:r>
      <w:r>
        <w:rPr>
          <w:rFonts w:hint="eastAsia"/>
          <w:color w:val="000000"/>
          <w:kern w:val="0"/>
          <w:sz w:val="28"/>
          <w:szCs w:val="28"/>
        </w:rPr>
        <w:t>的文件、施工图纸进行编制；</w:t>
      </w:r>
    </w:p>
    <w:p>
      <w:pPr>
        <w:spacing w:line="480" w:lineRule="exact"/>
        <w:ind w:left="-424" w:leftChars="-202" w:firstLine="565" w:firstLineChars="202"/>
        <w:rPr>
          <w:color w:val="000000"/>
          <w:kern w:val="0"/>
          <w:sz w:val="28"/>
          <w:szCs w:val="28"/>
        </w:rPr>
      </w:pPr>
      <w:r>
        <w:rPr>
          <w:color w:val="000000"/>
          <w:kern w:val="0"/>
          <w:sz w:val="28"/>
          <w:szCs w:val="28"/>
        </w:rPr>
        <w:t>2</w:t>
      </w:r>
      <w:r>
        <w:rPr>
          <w:rFonts w:hint="eastAsia"/>
          <w:color w:val="000000"/>
          <w:kern w:val="0"/>
          <w:sz w:val="28"/>
          <w:szCs w:val="28"/>
        </w:rPr>
        <w:t>、《广东省建筑与装饰工程综合定额（2018）》、《广东省安装工程综合定额（2018）》；</w:t>
      </w:r>
    </w:p>
    <w:p>
      <w:pPr>
        <w:spacing w:line="480" w:lineRule="exact"/>
        <w:ind w:left="-424" w:leftChars="-202" w:firstLine="565" w:firstLineChars="202"/>
        <w:rPr>
          <w:color w:val="000000"/>
          <w:kern w:val="0"/>
          <w:sz w:val="28"/>
          <w:szCs w:val="28"/>
        </w:rPr>
      </w:pPr>
      <w:r>
        <w:rPr>
          <w:color w:val="000000"/>
          <w:kern w:val="0"/>
          <w:sz w:val="28"/>
          <w:szCs w:val="28"/>
        </w:rPr>
        <w:t>3</w:t>
      </w:r>
      <w:r>
        <w:rPr>
          <w:rFonts w:hint="eastAsia"/>
          <w:color w:val="000000"/>
          <w:kern w:val="0"/>
          <w:sz w:val="28"/>
          <w:szCs w:val="28"/>
        </w:rPr>
        <w:t>、</w:t>
      </w:r>
      <w:r>
        <w:rPr>
          <w:color w:val="000000"/>
          <w:kern w:val="0"/>
          <w:sz w:val="28"/>
          <w:szCs w:val="28"/>
        </w:rPr>
        <w:t>201</w:t>
      </w:r>
      <w:r>
        <w:rPr>
          <w:rFonts w:hint="eastAsia"/>
          <w:color w:val="000000"/>
          <w:kern w:val="0"/>
          <w:sz w:val="28"/>
          <w:szCs w:val="28"/>
        </w:rPr>
        <w:t>8年广东省建设工程计价依据编制技术报告；</w:t>
      </w:r>
    </w:p>
    <w:p>
      <w:pPr>
        <w:spacing w:line="480" w:lineRule="exact"/>
        <w:ind w:left="-424" w:leftChars="-202" w:firstLine="565" w:firstLineChars="202"/>
        <w:rPr>
          <w:color w:val="000000"/>
          <w:kern w:val="0"/>
          <w:sz w:val="28"/>
          <w:szCs w:val="28"/>
        </w:rPr>
      </w:pPr>
      <w:r>
        <w:rPr>
          <w:color w:val="000000"/>
          <w:kern w:val="0"/>
          <w:sz w:val="28"/>
          <w:szCs w:val="28"/>
        </w:rPr>
        <w:t>4</w:t>
      </w:r>
      <w:r>
        <w:rPr>
          <w:rFonts w:hint="eastAsia"/>
          <w:color w:val="000000"/>
          <w:kern w:val="0"/>
          <w:sz w:val="28"/>
          <w:szCs w:val="28"/>
        </w:rPr>
        <w:t>、主要材料价格采用《2022年06月广州地区建设工程常用材料税前综合价格》及</w:t>
      </w:r>
      <w:r>
        <w:rPr>
          <w:color w:val="000000"/>
          <w:kern w:val="0"/>
          <w:sz w:val="28"/>
          <w:szCs w:val="28"/>
        </w:rPr>
        <w:t>20</w:t>
      </w:r>
      <w:r>
        <w:rPr>
          <w:rFonts w:hint="eastAsia"/>
          <w:color w:val="000000"/>
          <w:kern w:val="0"/>
          <w:sz w:val="28"/>
          <w:szCs w:val="28"/>
        </w:rPr>
        <w:t>22年第二季度广州地区《建设工程材料指导价格》执行；</w:t>
      </w:r>
    </w:p>
    <w:p>
      <w:pPr>
        <w:spacing w:line="480" w:lineRule="exact"/>
        <w:ind w:left="-424" w:leftChars="-202" w:firstLine="565" w:firstLineChars="202"/>
        <w:rPr>
          <w:color w:val="000000"/>
          <w:kern w:val="0"/>
          <w:sz w:val="28"/>
          <w:szCs w:val="28"/>
        </w:rPr>
      </w:pPr>
      <w:r>
        <w:rPr>
          <w:color w:val="000000"/>
          <w:kern w:val="0"/>
          <w:sz w:val="28"/>
          <w:szCs w:val="28"/>
        </w:rPr>
        <w:t>5</w:t>
      </w:r>
      <w:r>
        <w:rPr>
          <w:rFonts w:hint="eastAsia"/>
          <w:color w:val="000000"/>
          <w:kern w:val="0"/>
          <w:sz w:val="28"/>
          <w:szCs w:val="28"/>
        </w:rPr>
        <w:t>、计费程序执行广州市建委计费程序有关规定进行计费；</w:t>
      </w:r>
    </w:p>
    <w:p>
      <w:pPr>
        <w:spacing w:line="480" w:lineRule="exact"/>
        <w:ind w:left="-424" w:leftChars="-202" w:firstLine="565" w:firstLineChars="202"/>
        <w:rPr>
          <w:rFonts w:ascii="宋体"/>
          <w:color w:val="000000"/>
          <w:kern w:val="0"/>
          <w:sz w:val="28"/>
          <w:szCs w:val="28"/>
        </w:rPr>
      </w:pPr>
      <w:r>
        <w:rPr>
          <w:rFonts w:ascii="宋体" w:hAnsi="宋体"/>
          <w:color w:val="000000"/>
          <w:kern w:val="0"/>
          <w:sz w:val="28"/>
          <w:szCs w:val="28"/>
        </w:rPr>
        <w:t>6</w:t>
      </w:r>
      <w:r>
        <w:rPr>
          <w:rFonts w:hint="eastAsia" w:ascii="宋体" w:hAnsi="宋体"/>
          <w:color w:val="000000"/>
          <w:kern w:val="0"/>
          <w:sz w:val="28"/>
          <w:szCs w:val="28"/>
        </w:rPr>
        <w:t>、现行国家施工验收规范</w:t>
      </w:r>
      <w:r>
        <w:rPr>
          <w:rFonts w:ascii="宋体" w:hAnsi="宋体"/>
          <w:color w:val="000000"/>
          <w:kern w:val="0"/>
          <w:sz w:val="28"/>
          <w:szCs w:val="28"/>
        </w:rPr>
        <w:t>;</w:t>
      </w:r>
    </w:p>
    <w:p>
      <w:pPr>
        <w:spacing w:line="480" w:lineRule="exact"/>
        <w:ind w:left="-424" w:leftChars="-202" w:firstLine="565" w:firstLineChars="202"/>
        <w:rPr>
          <w:rFonts w:ascii="宋体"/>
          <w:color w:val="000000"/>
          <w:kern w:val="0"/>
          <w:sz w:val="28"/>
          <w:szCs w:val="28"/>
        </w:rPr>
      </w:pPr>
      <w:r>
        <w:rPr>
          <w:rFonts w:ascii="宋体" w:hAnsi="宋体"/>
          <w:color w:val="000000"/>
          <w:kern w:val="0"/>
          <w:sz w:val="28"/>
          <w:szCs w:val="28"/>
        </w:rPr>
        <w:t>7</w:t>
      </w:r>
      <w:r>
        <w:rPr>
          <w:rFonts w:hint="eastAsia" w:ascii="宋体" w:hAnsi="宋体"/>
          <w:color w:val="000000"/>
          <w:kern w:val="0"/>
          <w:sz w:val="28"/>
          <w:szCs w:val="28"/>
        </w:rPr>
        <w:t>、国家及当地政府相关工程造价法律、法规文件</w:t>
      </w:r>
      <w:r>
        <w:rPr>
          <w:rFonts w:ascii="宋体" w:hAnsi="宋体"/>
          <w:color w:val="000000"/>
          <w:kern w:val="0"/>
          <w:sz w:val="28"/>
          <w:szCs w:val="28"/>
        </w:rPr>
        <w:t>;</w:t>
      </w:r>
    </w:p>
    <w:p>
      <w:pPr>
        <w:spacing w:line="480" w:lineRule="exact"/>
        <w:ind w:left="-424" w:leftChars="-202" w:firstLine="565" w:firstLineChars="202"/>
        <w:rPr>
          <w:color w:val="000000"/>
          <w:kern w:val="0"/>
          <w:sz w:val="28"/>
          <w:szCs w:val="28"/>
        </w:rPr>
      </w:pPr>
      <w:r>
        <w:rPr>
          <w:rFonts w:hint="eastAsia"/>
          <w:color w:val="000000"/>
          <w:kern w:val="0"/>
          <w:sz w:val="28"/>
          <w:szCs w:val="28"/>
        </w:rPr>
        <w:t>三、措施项目费、规费、税金</w:t>
      </w:r>
    </w:p>
    <w:p>
      <w:pPr>
        <w:spacing w:line="480" w:lineRule="exact"/>
        <w:ind w:left="-424" w:leftChars="-202" w:firstLine="565" w:firstLineChars="202"/>
        <w:rPr>
          <w:rFonts w:ascii="宋体" w:hAnsi="宋体"/>
          <w:color w:val="000000"/>
          <w:kern w:val="0"/>
          <w:sz w:val="28"/>
          <w:szCs w:val="28"/>
        </w:rPr>
      </w:pPr>
      <w:r>
        <w:rPr>
          <w:rFonts w:ascii="宋体" w:hAnsi="宋体"/>
          <w:color w:val="000000"/>
          <w:kern w:val="0"/>
          <w:sz w:val="28"/>
          <w:szCs w:val="28"/>
        </w:rPr>
        <w:t>1</w:t>
      </w:r>
      <w:r>
        <w:rPr>
          <w:rFonts w:hint="eastAsia" w:ascii="宋体" w:hAnsi="宋体"/>
          <w:color w:val="000000"/>
          <w:kern w:val="0"/>
          <w:sz w:val="28"/>
          <w:szCs w:val="28"/>
        </w:rPr>
        <w:t>、安全文明防护、文明施工措施费绿色施工安全防护措施费根据《广东省住建厅绿色施工导则》（粤建质[2016]241号）、《广东省住建厅关于建筑工程绿色施工的管理办法（暂行）》（粤建质【2016】242号）规定进行计取，《广东省住房和城乡建设厅关于营业税改增值税后调整广东省建设工程计价依据的通知》（粤建市函【</w:t>
      </w:r>
      <w:r>
        <w:rPr>
          <w:rFonts w:ascii="宋体" w:hAnsi="宋体"/>
          <w:color w:val="000000"/>
          <w:kern w:val="0"/>
          <w:sz w:val="28"/>
          <w:szCs w:val="28"/>
        </w:rPr>
        <w:t>2016</w:t>
      </w:r>
      <w:r>
        <w:rPr>
          <w:rFonts w:hint="eastAsia" w:ascii="宋体" w:hAnsi="宋体"/>
          <w:color w:val="000000"/>
          <w:kern w:val="0"/>
          <w:sz w:val="28"/>
          <w:szCs w:val="28"/>
        </w:rPr>
        <w:t>】</w:t>
      </w:r>
      <w:r>
        <w:rPr>
          <w:rFonts w:ascii="宋体" w:hAnsi="宋体"/>
          <w:color w:val="000000"/>
          <w:kern w:val="0"/>
          <w:sz w:val="28"/>
          <w:szCs w:val="28"/>
        </w:rPr>
        <w:t>1113</w:t>
      </w:r>
      <w:r>
        <w:rPr>
          <w:rFonts w:hint="eastAsia" w:ascii="宋体" w:hAnsi="宋体"/>
          <w:color w:val="000000"/>
          <w:kern w:val="0"/>
          <w:sz w:val="28"/>
          <w:szCs w:val="28"/>
        </w:rPr>
        <w:t>号）规定税收进行调整。</w:t>
      </w:r>
    </w:p>
    <w:p>
      <w:pPr>
        <w:spacing w:line="480" w:lineRule="exact"/>
        <w:ind w:left="-424" w:leftChars="-202" w:firstLine="565" w:firstLineChars="202"/>
        <w:rPr>
          <w:rFonts w:ascii="宋体"/>
          <w:color w:val="000000"/>
          <w:kern w:val="0"/>
          <w:sz w:val="28"/>
          <w:szCs w:val="28"/>
        </w:rPr>
      </w:pPr>
      <w:r>
        <w:rPr>
          <w:rFonts w:hint="eastAsia" w:ascii="宋体"/>
          <w:color w:val="000000"/>
          <w:kern w:val="0"/>
          <w:sz w:val="28"/>
          <w:szCs w:val="28"/>
        </w:rPr>
        <w:t>2、预算包干费费率建筑工程按人工费、机具费的7%计取，安装工程按人工费、机具费的10%计取。</w:t>
      </w:r>
    </w:p>
    <w:p>
      <w:pPr>
        <w:spacing w:line="480" w:lineRule="exact"/>
        <w:ind w:left="-424" w:leftChars="-202" w:firstLine="565" w:firstLineChars="202"/>
        <w:rPr>
          <w:rFonts w:ascii="宋体" w:hAnsi="宋体"/>
          <w:color w:val="000000"/>
          <w:kern w:val="0"/>
          <w:sz w:val="28"/>
          <w:szCs w:val="28"/>
        </w:rPr>
      </w:pPr>
      <w:r>
        <w:rPr>
          <w:rFonts w:hint="eastAsia" w:ascii="宋体" w:hAnsi="宋体"/>
          <w:color w:val="000000"/>
          <w:kern w:val="0"/>
          <w:sz w:val="28"/>
          <w:szCs w:val="28"/>
        </w:rPr>
        <w:t>3、利润按人工费、机具费的20%计取；建设工程税率按（建办标函﹝2019﹞31号）9%计取。</w:t>
      </w:r>
    </w:p>
    <w:p>
      <w:pPr>
        <w:spacing w:beforeLines="50" w:afterLines="50" w:line="480" w:lineRule="exact"/>
        <w:ind w:left="-424" w:leftChars="-202" w:firstLine="565" w:firstLineChars="202"/>
        <w:rPr>
          <w:rFonts w:ascii="宋体"/>
          <w:sz w:val="28"/>
          <w:szCs w:val="28"/>
        </w:rPr>
      </w:pPr>
      <w:r>
        <w:rPr>
          <w:rFonts w:hint="eastAsia"/>
          <w:color w:val="000000"/>
          <w:kern w:val="0"/>
          <w:sz w:val="28"/>
          <w:szCs w:val="28"/>
        </w:rPr>
        <w:t>四、编制结果</w:t>
      </w:r>
      <w:r>
        <w:rPr>
          <w:b/>
          <w:bCs/>
          <w:color w:val="000000"/>
          <w:sz w:val="28"/>
          <w:szCs w:val="28"/>
        </w:rPr>
        <w:t>:</w:t>
      </w:r>
    </w:p>
    <w:p>
      <w:pPr>
        <w:spacing w:line="480" w:lineRule="exact"/>
        <w:ind w:left="-424" w:leftChars="-202" w:firstLine="565" w:firstLineChars="202"/>
        <w:rPr>
          <w:rFonts w:ascii="宋体" w:hAnsi="宋体"/>
          <w:sz w:val="28"/>
          <w:szCs w:val="28"/>
        </w:rPr>
      </w:pPr>
      <w:r>
        <w:rPr>
          <w:rFonts w:hint="eastAsia" w:ascii="宋体" w:hAnsi="宋体"/>
          <w:sz w:val="28"/>
          <w:szCs w:val="28"/>
        </w:rPr>
        <w:t>广州市黄埔区茅岗小学运动场改造工程项目：</w:t>
      </w:r>
      <w:r>
        <w:rPr>
          <w:rFonts w:hint="eastAsia" w:ascii="宋体" w:hAnsi="宋体"/>
          <w:sz w:val="30"/>
          <w:szCs w:val="30"/>
        </w:rPr>
        <w:t>5899849.90</w:t>
      </w:r>
      <w:r>
        <w:rPr>
          <w:rFonts w:hint="eastAsia" w:ascii="宋体" w:hAnsi="宋体"/>
          <w:sz w:val="28"/>
          <w:szCs w:val="28"/>
        </w:rPr>
        <w:t>元，详见工程造价汇总表。</w:t>
      </w:r>
    </w:p>
    <w:sectPr>
      <w:headerReference r:id="rId3" w:type="default"/>
      <w:pgSz w:w="11906" w:h="16838"/>
      <w:pgMar w:top="1134" w:right="1558" w:bottom="1276"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mU5M2I5NDIzMmI4YzNmOGFkMjhiZThiNDNkZmQwM2YifQ=="/>
  </w:docVars>
  <w:rsids>
    <w:rsidRoot w:val="00B80802"/>
    <w:rsid w:val="0000503E"/>
    <w:rsid w:val="00020C37"/>
    <w:rsid w:val="00065C46"/>
    <w:rsid w:val="000852BE"/>
    <w:rsid w:val="000A612C"/>
    <w:rsid w:val="000B03F2"/>
    <w:rsid w:val="00155760"/>
    <w:rsid w:val="001852BD"/>
    <w:rsid w:val="001876C9"/>
    <w:rsid w:val="00192249"/>
    <w:rsid w:val="001B5787"/>
    <w:rsid w:val="00230B82"/>
    <w:rsid w:val="002524E3"/>
    <w:rsid w:val="002805C1"/>
    <w:rsid w:val="002A5BD7"/>
    <w:rsid w:val="002B1A17"/>
    <w:rsid w:val="002B4167"/>
    <w:rsid w:val="00312791"/>
    <w:rsid w:val="00332029"/>
    <w:rsid w:val="00333015"/>
    <w:rsid w:val="00333C25"/>
    <w:rsid w:val="0038474F"/>
    <w:rsid w:val="00390DCC"/>
    <w:rsid w:val="003B0546"/>
    <w:rsid w:val="003F4856"/>
    <w:rsid w:val="0040319C"/>
    <w:rsid w:val="00407B78"/>
    <w:rsid w:val="00420EB9"/>
    <w:rsid w:val="00451685"/>
    <w:rsid w:val="0048381E"/>
    <w:rsid w:val="004B0981"/>
    <w:rsid w:val="004C46E9"/>
    <w:rsid w:val="004D3DC1"/>
    <w:rsid w:val="005128C4"/>
    <w:rsid w:val="005147FB"/>
    <w:rsid w:val="00522E76"/>
    <w:rsid w:val="00570F8C"/>
    <w:rsid w:val="005D315C"/>
    <w:rsid w:val="005E3F11"/>
    <w:rsid w:val="00600FF3"/>
    <w:rsid w:val="00671F56"/>
    <w:rsid w:val="006A4874"/>
    <w:rsid w:val="006E5D83"/>
    <w:rsid w:val="00731637"/>
    <w:rsid w:val="00733AFC"/>
    <w:rsid w:val="007364C5"/>
    <w:rsid w:val="007559F0"/>
    <w:rsid w:val="00772A61"/>
    <w:rsid w:val="007B1A31"/>
    <w:rsid w:val="007C3C11"/>
    <w:rsid w:val="00847EC9"/>
    <w:rsid w:val="00875DB8"/>
    <w:rsid w:val="008B4947"/>
    <w:rsid w:val="008D2406"/>
    <w:rsid w:val="0094758F"/>
    <w:rsid w:val="009741E9"/>
    <w:rsid w:val="009A18DD"/>
    <w:rsid w:val="00A42B30"/>
    <w:rsid w:val="00AB413A"/>
    <w:rsid w:val="00AD07CA"/>
    <w:rsid w:val="00AD4FFB"/>
    <w:rsid w:val="00AE1FDF"/>
    <w:rsid w:val="00AE2B3D"/>
    <w:rsid w:val="00B35215"/>
    <w:rsid w:val="00B4768C"/>
    <w:rsid w:val="00B5080A"/>
    <w:rsid w:val="00B536C2"/>
    <w:rsid w:val="00B80802"/>
    <w:rsid w:val="00BA2C18"/>
    <w:rsid w:val="00C40670"/>
    <w:rsid w:val="00C958C7"/>
    <w:rsid w:val="00CD7EC9"/>
    <w:rsid w:val="00CE1F05"/>
    <w:rsid w:val="00D21B9F"/>
    <w:rsid w:val="00D420AD"/>
    <w:rsid w:val="00D84BD5"/>
    <w:rsid w:val="00DC1562"/>
    <w:rsid w:val="00E02D76"/>
    <w:rsid w:val="00E1792E"/>
    <w:rsid w:val="00E27264"/>
    <w:rsid w:val="00E45E72"/>
    <w:rsid w:val="00E7502C"/>
    <w:rsid w:val="00EA7F11"/>
    <w:rsid w:val="00EE0DB8"/>
    <w:rsid w:val="00EE4297"/>
    <w:rsid w:val="00EE538F"/>
    <w:rsid w:val="00F17A63"/>
    <w:rsid w:val="00F3254E"/>
    <w:rsid w:val="00F413BB"/>
    <w:rsid w:val="00F626D1"/>
    <w:rsid w:val="00FA6ED1"/>
    <w:rsid w:val="00FF20A0"/>
    <w:rsid w:val="045F2EBA"/>
    <w:rsid w:val="13FB69C1"/>
    <w:rsid w:val="212F5B88"/>
    <w:rsid w:val="22F244AB"/>
    <w:rsid w:val="269617E8"/>
    <w:rsid w:val="2830484E"/>
    <w:rsid w:val="29E94156"/>
    <w:rsid w:val="31AB1BCF"/>
    <w:rsid w:val="32017752"/>
    <w:rsid w:val="3D525974"/>
    <w:rsid w:val="42EE073B"/>
    <w:rsid w:val="4C930E04"/>
    <w:rsid w:val="4D6943CB"/>
    <w:rsid w:val="4DCE69A6"/>
    <w:rsid w:val="4F2B3C6E"/>
    <w:rsid w:val="55606D92"/>
    <w:rsid w:val="5AEA3466"/>
    <w:rsid w:val="632A7B3C"/>
    <w:rsid w:val="65197644"/>
    <w:rsid w:val="6A111B8A"/>
    <w:rsid w:val="6C1252D7"/>
    <w:rsid w:val="71E95B81"/>
    <w:rsid w:val="7E7C55FD"/>
  </w:rsids>
  <m:mathPr>
    <m:mathFont m:val="Cambria Math"/>
    <m:brkBin m:val="before"/>
    <m:brkBinSub m:val="--"/>
    <m:smallFrac m:val="1"/>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qFormat/>
    <w:uiPriority w:val="99"/>
    <w:pPr>
      <w:tabs>
        <w:tab w:val="center" w:pos="4153"/>
        <w:tab w:val="right" w:pos="8306"/>
      </w:tabs>
      <w:snapToGrid w:val="0"/>
      <w:jc w:val="left"/>
    </w:pPr>
    <w:rPr>
      <w:sz w:val="18"/>
      <w:szCs w:val="18"/>
    </w:rPr>
  </w:style>
  <w:style w:type="paragraph" w:styleId="3">
    <w:name w:val="header"/>
    <w:basedOn w:val="1"/>
    <w:link w:val="7"/>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Char"/>
    <w:basedOn w:val="5"/>
    <w:link w:val="2"/>
    <w:semiHidden/>
    <w:qFormat/>
    <w:locked/>
    <w:uiPriority w:val="99"/>
    <w:rPr>
      <w:rFonts w:ascii="Times New Roman" w:hAnsi="Times New Roman" w:eastAsia="宋体" w:cs="Times New Roman"/>
      <w:sz w:val="18"/>
      <w:szCs w:val="18"/>
    </w:rPr>
  </w:style>
  <w:style w:type="character" w:customStyle="1" w:styleId="7">
    <w:name w:val="页眉 Char"/>
    <w:basedOn w:val="5"/>
    <w:link w:val="3"/>
    <w:semiHidden/>
    <w:qFormat/>
    <w:locked/>
    <w:uiPriority w:val="99"/>
    <w:rPr>
      <w:rFonts w:ascii="Times New Roman" w:hAnsi="Times New Roman" w:eastAsia="宋体" w:cs="Times New Roman"/>
      <w:sz w:val="18"/>
      <w:szCs w:val="18"/>
    </w:rPr>
  </w:style>
  <w:style w:type="paragraph" w:customStyle="1" w:styleId="8">
    <w:name w:val="默认段落字体 Para Char"/>
    <w:basedOn w:val="1"/>
    <w:qFormat/>
    <w:uiPriority w:val="99"/>
    <w:rPr>
      <w:sz w:val="30"/>
    </w:rPr>
  </w:style>
  <w:style w:type="paragraph" w:customStyle="1" w:styleId="9">
    <w:name w:val="默认段落字体 Para Char Char Char Char Char Char Char"/>
    <w:basedOn w:val="1"/>
    <w:qFormat/>
    <w:uiPriority w:val="99"/>
    <w:rPr>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610</Words>
  <Characters>673</Characters>
  <Lines>5</Lines>
  <Paragraphs>1</Paragraphs>
  <TotalTime>0</TotalTime>
  <ScaleCrop>false</ScaleCrop>
  <LinksUpToDate>false</LinksUpToDate>
  <CharactersWithSpaces>673</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2015-12-18T02:24:00Z</dcterms:created>
  <dc:creator>微软用户</dc:creator>
  <cp:lastModifiedBy>七夜</cp:lastModifiedBy>
  <cp:lastPrinted>2015-12-21T03:03:00Z</cp:lastPrinted>
  <dcterms:modified xsi:type="dcterms:W3CDTF">2022-08-30T01:29:48Z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0951BB08D80749DD8659B2A4DA9F575B</vt:lpwstr>
  </property>
</Properties>
</file>